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714" w:type="dxa"/>
        <w:tblLook w:val="04A0" w:firstRow="1" w:lastRow="0" w:firstColumn="1" w:lastColumn="0" w:noHBand="0" w:noVBand="1"/>
      </w:tblPr>
      <w:tblGrid>
        <w:gridCol w:w="7655"/>
        <w:gridCol w:w="7938"/>
      </w:tblGrid>
      <w:tr w:rsidR="00605CBE" w:rsidRPr="000A1A1E" w14:paraId="10CC46EC" w14:textId="77777777" w:rsidTr="00605CBE">
        <w:tc>
          <w:tcPr>
            <w:tcW w:w="15593" w:type="dxa"/>
            <w:gridSpan w:val="2"/>
          </w:tcPr>
          <w:p w14:paraId="45F5C1DA" w14:textId="6C224A98" w:rsidR="00605CBE" w:rsidRPr="00605CBE" w:rsidRDefault="00605CBE" w:rsidP="00605CBE">
            <w:pPr>
              <w:bidi w:val="0"/>
              <w:rPr>
                <w:rFonts w:cstheme="minorHAnsi"/>
                <w:b/>
                <w:bCs/>
                <w:sz w:val="24"/>
                <w:szCs w:val="24"/>
                <w:lang w:val="es-ES"/>
              </w:rPr>
            </w:pPr>
            <w:r w:rsidRPr="00605CBE">
              <w:rPr>
                <w:rFonts w:cstheme="minorHAnsi"/>
                <w:b/>
                <w:bCs/>
                <w:sz w:val="24"/>
                <w:szCs w:val="24"/>
                <w:lang w:val="es-ES"/>
              </w:rPr>
              <w:t xml:space="preserve">                                                               </w:t>
            </w:r>
            <w:r w:rsidRPr="00605CBE">
              <w:rPr>
                <w:rFonts w:cstheme="minorHAnsi"/>
                <w:b/>
                <w:bCs/>
                <w:sz w:val="24"/>
                <w:szCs w:val="24"/>
                <w:lang w:val="es-ES"/>
              </w:rPr>
              <w:t xml:space="preserve">Cuadro comparativo entre la vida de Deborah </w:t>
            </w:r>
            <w:proofErr w:type="spellStart"/>
            <w:r w:rsidRPr="00605CBE">
              <w:rPr>
                <w:rFonts w:cstheme="minorHAnsi"/>
                <w:b/>
                <w:bCs/>
                <w:sz w:val="24"/>
                <w:szCs w:val="24"/>
                <w:lang w:val="es-ES"/>
              </w:rPr>
              <w:t>Feldam</w:t>
            </w:r>
            <w:proofErr w:type="spellEnd"/>
            <w:r w:rsidRPr="00605CBE">
              <w:rPr>
                <w:rFonts w:cstheme="minorHAnsi"/>
                <w:b/>
                <w:bCs/>
                <w:sz w:val="24"/>
                <w:szCs w:val="24"/>
                <w:lang w:val="es-ES"/>
              </w:rPr>
              <w:t xml:space="preserve"> y Esther Shapiro</w:t>
            </w:r>
          </w:p>
          <w:p w14:paraId="16853EF0" w14:textId="00B85D2E" w:rsidR="00605CBE" w:rsidRPr="00605CBE" w:rsidRDefault="00605CBE" w:rsidP="00605CBE">
            <w:pPr>
              <w:bidi w:val="0"/>
              <w:rPr>
                <w:rFonts w:cstheme="minorHAnsi"/>
                <w:sz w:val="24"/>
                <w:szCs w:val="24"/>
                <w:lang w:val="es-ES"/>
              </w:rPr>
            </w:pPr>
            <w:r w:rsidRPr="00605CBE">
              <w:rPr>
                <w:rFonts w:cstheme="minorHAnsi"/>
                <w:sz w:val="24"/>
                <w:szCs w:val="24"/>
                <w:lang w:val="es-ES"/>
              </w:rPr>
              <w:t>Artículo completo disponible en</w:t>
            </w:r>
            <w:r>
              <w:rPr>
                <w:rFonts w:cstheme="minorHAnsi"/>
                <w:b/>
                <w:bCs/>
                <w:sz w:val="24"/>
                <w:szCs w:val="24"/>
                <w:shd w:val="clear" w:color="auto" w:fill="FFFFFF" w:themeFill="background1"/>
                <w:lang w:val="es-ES"/>
              </w:rPr>
              <w:t xml:space="preserve">  </w:t>
            </w:r>
            <w:hyperlink r:id="rId5" w:history="1">
              <w:r w:rsidRPr="00605CBE">
                <w:rPr>
                  <w:rStyle w:val="Hyperlink"/>
                  <w:rFonts w:cstheme="minorHAnsi"/>
                  <w:b/>
                  <w:bCs/>
                  <w:sz w:val="24"/>
                  <w:szCs w:val="24"/>
                  <w:shd w:val="clear" w:color="auto" w:fill="FFFFFF" w:themeFill="background1"/>
                  <w:lang w:val="es-ES"/>
                </w:rPr>
                <w:t>"Creía que iba a morir": el duro relato de la novelista que inspira la serie de Netflix</w:t>
              </w:r>
            </w:hyperlink>
          </w:p>
        </w:tc>
      </w:tr>
      <w:tr w:rsidR="00605CBE" w:rsidRPr="000A1A1E" w14:paraId="58C24D14" w14:textId="77777777" w:rsidTr="00605CBE">
        <w:tc>
          <w:tcPr>
            <w:tcW w:w="15593" w:type="dxa"/>
            <w:gridSpan w:val="2"/>
          </w:tcPr>
          <w:p w14:paraId="07C98364"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Con sus parecidos y diferencias con la realidad de Feldman, </w:t>
            </w:r>
            <w:r w:rsidRPr="000A1A1E">
              <w:rPr>
                <w:rStyle w:val="Emphasis"/>
                <w:rFonts w:cstheme="minorHAnsi"/>
                <w:sz w:val="24"/>
                <w:szCs w:val="24"/>
                <w:lang w:val="es-ES"/>
              </w:rPr>
              <w:t>Poco Ortodoxa</w:t>
            </w:r>
            <w:r w:rsidRPr="000A1A1E">
              <w:rPr>
                <w:rFonts w:cstheme="minorHAnsi"/>
                <w:sz w:val="24"/>
                <w:szCs w:val="24"/>
                <w:lang w:val="es-ES"/>
              </w:rPr>
              <w:t> te mete de lleno en </w:t>
            </w:r>
            <w:hyperlink r:id="rId6" w:tgtFrame="_blank" w:history="1">
              <w:r w:rsidRPr="000A1A1E">
                <w:rPr>
                  <w:rStyle w:val="Hyperlink"/>
                  <w:rFonts w:cstheme="minorHAnsi"/>
                  <w:color w:val="auto"/>
                  <w:sz w:val="24"/>
                  <w:szCs w:val="24"/>
                  <w:lang w:val="es-ES"/>
                </w:rPr>
                <w:t xml:space="preserve">la comunidad </w:t>
              </w:r>
              <w:proofErr w:type="spellStart"/>
              <w:r w:rsidRPr="000A1A1E">
                <w:rPr>
                  <w:rStyle w:val="Hyperlink"/>
                  <w:rFonts w:cstheme="minorHAnsi"/>
                  <w:color w:val="auto"/>
                  <w:sz w:val="24"/>
                  <w:szCs w:val="24"/>
                  <w:lang w:val="es-ES"/>
                </w:rPr>
                <w:t>Satmar</w:t>
              </w:r>
              <w:proofErr w:type="spellEnd"/>
            </w:hyperlink>
            <w:r w:rsidRPr="000A1A1E">
              <w:rPr>
                <w:rFonts w:cstheme="minorHAnsi"/>
                <w:sz w:val="24"/>
                <w:szCs w:val="24"/>
                <w:lang w:val="es-ES"/>
              </w:rPr>
              <w:t> y sirve para conocer este grupo religioso que reside mayormente en el barrio de Williamsburg, en Nueva York. Todos los detalles están cuidados al máximo: desde los sombreros de ellos (</w:t>
            </w:r>
            <w:proofErr w:type="spellStart"/>
            <w:r w:rsidRPr="000A1A1E">
              <w:rPr>
                <w:rFonts w:cstheme="minorHAnsi"/>
                <w:sz w:val="24"/>
                <w:szCs w:val="24"/>
                <w:lang w:val="es-ES"/>
              </w:rPr>
              <w:t>Shtreimel</w:t>
            </w:r>
            <w:proofErr w:type="spellEnd"/>
            <w:r w:rsidRPr="000A1A1E">
              <w:rPr>
                <w:rFonts w:cstheme="minorHAnsi"/>
                <w:sz w:val="24"/>
                <w:szCs w:val="24"/>
                <w:lang w:val="es-ES"/>
              </w:rPr>
              <w:t>) y los tirabuzones de sus patillas hasta las costumbres referentes a la educación o ‘ausencia de’ y la forma de concebir las relaciones entre hombres y mujeres.</w:t>
            </w:r>
          </w:p>
        </w:tc>
      </w:tr>
      <w:tr w:rsidR="00605CBE" w:rsidRPr="000A1A1E" w14:paraId="514B8292" w14:textId="77777777" w:rsidTr="00605CBE">
        <w:tc>
          <w:tcPr>
            <w:tcW w:w="7655" w:type="dxa"/>
          </w:tcPr>
          <w:p w14:paraId="3113DBAE" w14:textId="77777777" w:rsidR="00605CBE" w:rsidRPr="000A1A1E" w:rsidRDefault="00605CBE" w:rsidP="00617CA7">
            <w:pPr>
              <w:bidi w:val="0"/>
              <w:jc w:val="center"/>
              <w:rPr>
                <w:rFonts w:cstheme="minorHAnsi"/>
                <w:b/>
                <w:bCs/>
                <w:sz w:val="24"/>
                <w:szCs w:val="24"/>
              </w:rPr>
            </w:pPr>
            <w:proofErr w:type="spellStart"/>
            <w:r w:rsidRPr="000A1A1E">
              <w:rPr>
                <w:rFonts w:cstheme="minorHAnsi"/>
                <w:b/>
                <w:bCs/>
                <w:sz w:val="24"/>
                <w:szCs w:val="24"/>
              </w:rPr>
              <w:t>En</w:t>
            </w:r>
            <w:proofErr w:type="spellEnd"/>
            <w:r w:rsidRPr="000A1A1E">
              <w:rPr>
                <w:rFonts w:cstheme="minorHAnsi"/>
                <w:b/>
                <w:bCs/>
                <w:sz w:val="24"/>
                <w:szCs w:val="24"/>
              </w:rPr>
              <w:t xml:space="preserve"> la </w:t>
            </w:r>
            <w:proofErr w:type="spellStart"/>
            <w:r w:rsidRPr="000A1A1E">
              <w:rPr>
                <w:rFonts w:cstheme="minorHAnsi"/>
                <w:b/>
                <w:bCs/>
                <w:sz w:val="24"/>
                <w:szCs w:val="24"/>
              </w:rPr>
              <w:t>vida</w:t>
            </w:r>
            <w:proofErr w:type="spellEnd"/>
            <w:r w:rsidRPr="000A1A1E">
              <w:rPr>
                <w:rFonts w:cstheme="minorHAnsi"/>
                <w:b/>
                <w:bCs/>
                <w:sz w:val="24"/>
                <w:szCs w:val="24"/>
              </w:rPr>
              <w:t xml:space="preserve"> real</w:t>
            </w:r>
          </w:p>
        </w:tc>
        <w:tc>
          <w:tcPr>
            <w:tcW w:w="7938" w:type="dxa"/>
          </w:tcPr>
          <w:p w14:paraId="61DF5EFA" w14:textId="77777777" w:rsidR="00605CBE" w:rsidRPr="000A1A1E" w:rsidRDefault="00605CBE" w:rsidP="00617CA7">
            <w:pPr>
              <w:bidi w:val="0"/>
              <w:jc w:val="center"/>
              <w:rPr>
                <w:rFonts w:cstheme="minorHAnsi"/>
                <w:b/>
                <w:bCs/>
                <w:sz w:val="24"/>
                <w:szCs w:val="24"/>
                <w:lang w:val="es-ES"/>
              </w:rPr>
            </w:pPr>
            <w:proofErr w:type="spellStart"/>
            <w:r w:rsidRPr="000A1A1E">
              <w:rPr>
                <w:rFonts w:cstheme="minorHAnsi"/>
                <w:b/>
                <w:bCs/>
                <w:sz w:val="24"/>
                <w:szCs w:val="24"/>
              </w:rPr>
              <w:t>En</w:t>
            </w:r>
            <w:proofErr w:type="spellEnd"/>
            <w:r w:rsidRPr="000A1A1E">
              <w:rPr>
                <w:rFonts w:cstheme="minorHAnsi"/>
                <w:b/>
                <w:bCs/>
                <w:sz w:val="24"/>
                <w:szCs w:val="24"/>
              </w:rPr>
              <w:t xml:space="preserve"> la </w:t>
            </w:r>
            <w:proofErr w:type="spellStart"/>
            <w:r w:rsidRPr="000A1A1E">
              <w:rPr>
                <w:rFonts w:cstheme="minorHAnsi"/>
                <w:b/>
                <w:bCs/>
                <w:sz w:val="24"/>
                <w:szCs w:val="24"/>
              </w:rPr>
              <w:t>ficci</w:t>
            </w:r>
            <w:r w:rsidRPr="000A1A1E">
              <w:rPr>
                <w:rFonts w:cstheme="minorHAnsi"/>
                <w:b/>
                <w:bCs/>
                <w:sz w:val="24"/>
                <w:szCs w:val="24"/>
                <w:lang w:val="es-ES"/>
              </w:rPr>
              <w:t>ón</w:t>
            </w:r>
            <w:proofErr w:type="spellEnd"/>
          </w:p>
        </w:tc>
      </w:tr>
      <w:tr w:rsidR="00605CBE" w:rsidRPr="000A1A1E" w14:paraId="270B6525" w14:textId="77777777" w:rsidTr="00605CBE">
        <w:tc>
          <w:tcPr>
            <w:tcW w:w="7655" w:type="dxa"/>
          </w:tcPr>
          <w:p w14:paraId="58DD0E81"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 Feldman también tenía 17 años cuando se casó, pero a diferencia de la protagonista de </w:t>
            </w:r>
            <w:proofErr w:type="spellStart"/>
            <w:r w:rsidRPr="000A1A1E">
              <w:rPr>
                <w:rStyle w:val="Emphasis"/>
                <w:rFonts w:cstheme="minorHAnsi"/>
                <w:sz w:val="24"/>
                <w:szCs w:val="24"/>
                <w:lang w:val="es-ES"/>
              </w:rPr>
              <w:t>Unorthodox</w:t>
            </w:r>
            <w:proofErr w:type="spellEnd"/>
            <w:r w:rsidRPr="000A1A1E">
              <w:rPr>
                <w:rFonts w:cstheme="minorHAnsi"/>
                <w:sz w:val="24"/>
                <w:szCs w:val="24"/>
                <w:lang w:val="es-ES"/>
              </w:rPr>
              <w:t> no conoció a su marido hasta 30 minutos antes de la boda.</w:t>
            </w:r>
          </w:p>
        </w:tc>
        <w:tc>
          <w:tcPr>
            <w:tcW w:w="7938" w:type="dxa"/>
          </w:tcPr>
          <w:p w14:paraId="3382412F"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 xml:space="preserve">Deborah y Eli tuvieron una conversación similar a la de </w:t>
            </w:r>
            <w:proofErr w:type="spellStart"/>
            <w:r w:rsidRPr="000A1A1E">
              <w:rPr>
                <w:rFonts w:cstheme="minorHAnsi"/>
                <w:sz w:val="24"/>
                <w:szCs w:val="24"/>
                <w:lang w:val="es-ES"/>
              </w:rPr>
              <w:t>Esty</w:t>
            </w:r>
            <w:proofErr w:type="spellEnd"/>
            <w:r w:rsidRPr="000A1A1E">
              <w:rPr>
                <w:rFonts w:cstheme="minorHAnsi"/>
                <w:sz w:val="24"/>
                <w:szCs w:val="24"/>
                <w:lang w:val="es-ES"/>
              </w:rPr>
              <w:t xml:space="preserve"> y </w:t>
            </w:r>
            <w:proofErr w:type="spellStart"/>
            <w:r w:rsidRPr="000A1A1E">
              <w:rPr>
                <w:rFonts w:cstheme="minorHAnsi"/>
                <w:sz w:val="24"/>
                <w:szCs w:val="24"/>
                <w:lang w:val="es-ES"/>
              </w:rPr>
              <w:t>Yanky</w:t>
            </w:r>
            <w:proofErr w:type="spellEnd"/>
            <w:r w:rsidRPr="000A1A1E">
              <w:rPr>
                <w:rFonts w:cstheme="minorHAnsi"/>
                <w:sz w:val="24"/>
                <w:szCs w:val="24"/>
                <w:lang w:val="es-ES"/>
              </w:rPr>
              <w:t xml:space="preserve"> al casarse. Ella también le avisó que era “diferente” a las demás chicas. “Cuando lo conocí, le dije: ‘Tengo mis opiniones, es posible que no puedas manejar esto’.</w:t>
            </w:r>
          </w:p>
        </w:tc>
      </w:tr>
      <w:tr w:rsidR="00605CBE" w:rsidRPr="000A1A1E" w14:paraId="303EECFD" w14:textId="77777777" w:rsidTr="00605CBE">
        <w:tc>
          <w:tcPr>
            <w:tcW w:w="7655" w:type="dxa"/>
          </w:tcPr>
          <w:p w14:paraId="7B33F156"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Aunque se afeitó la cabeza al casarse, como todas las mujeres jasídicas, Feldman no lo aguantó. “Sólo me afeité durante un año. Me cansé de ver mi cabeza así en el espejo. Me parecía realmente deprimente, como si fuese un secreto vergonzoso”, reveló en 2012. “Ahora me cuesta mucho cortarme el pelo, porque recuerdo cuánto tiempo tardó en crecerme la primera vez”.</w:t>
            </w:r>
          </w:p>
          <w:p w14:paraId="12BE7997" w14:textId="77777777" w:rsidR="00605CBE" w:rsidRPr="000A1A1E" w:rsidRDefault="00605CBE" w:rsidP="00617CA7">
            <w:pPr>
              <w:bidi w:val="0"/>
              <w:jc w:val="both"/>
              <w:rPr>
                <w:rFonts w:cstheme="minorHAnsi"/>
                <w:sz w:val="24"/>
                <w:szCs w:val="24"/>
                <w:lang w:val="es-ES"/>
              </w:rPr>
            </w:pPr>
          </w:p>
          <w:p w14:paraId="304B4762" w14:textId="77777777" w:rsidR="00605CBE" w:rsidRPr="000A1A1E" w:rsidRDefault="00605CBE" w:rsidP="00617CA7">
            <w:pPr>
              <w:bidi w:val="0"/>
              <w:jc w:val="both"/>
              <w:rPr>
                <w:rFonts w:cstheme="minorHAnsi"/>
                <w:sz w:val="24"/>
                <w:szCs w:val="24"/>
                <w:lang w:val="es-ES"/>
              </w:rPr>
            </w:pPr>
          </w:p>
          <w:p w14:paraId="52FE56EA" w14:textId="77777777" w:rsidR="00605CBE" w:rsidRPr="000A1A1E" w:rsidRDefault="00605CBE" w:rsidP="00617CA7">
            <w:pPr>
              <w:bidi w:val="0"/>
              <w:jc w:val="both"/>
              <w:rPr>
                <w:rFonts w:cstheme="minorHAnsi"/>
                <w:sz w:val="24"/>
                <w:szCs w:val="24"/>
                <w:lang w:val="es-ES"/>
              </w:rPr>
            </w:pPr>
          </w:p>
        </w:tc>
        <w:tc>
          <w:tcPr>
            <w:tcW w:w="7938" w:type="dxa"/>
          </w:tcPr>
          <w:p w14:paraId="02592075"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La ropa que ves en la serie es la ropa que podía haber vestido la autora: “Con 11 años cambian las reglas de vestir. Sólo puedes usar blusas de tela de cuello alto y mangan larga. Las camisetas marcan los pechos”. Feldman se desarrolló demasiado joven y eso le generó problemas: “Si tienes un cuerpo con curvas, algo va mal contigo. No importa lo que me pusiese, el director de la escuela siempre tenía un problema conmigo (...) Pasaba por mi lado, me daba un cachete y me decía: ’Tu falda muestra demasiado”.</w:t>
            </w:r>
          </w:p>
        </w:tc>
      </w:tr>
      <w:tr w:rsidR="00605CBE" w:rsidRPr="000A1A1E" w14:paraId="674235E6" w14:textId="77777777" w:rsidTr="00605CBE">
        <w:tc>
          <w:tcPr>
            <w:tcW w:w="7655" w:type="dxa"/>
          </w:tcPr>
          <w:p w14:paraId="7916807F"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 xml:space="preserve">Con 23 años cogió a su hijo de tres años y se fue a vivir a casa de una compañera del Sarah Lawrence </w:t>
            </w:r>
            <w:proofErr w:type="spellStart"/>
            <w:r w:rsidRPr="000A1A1E">
              <w:rPr>
                <w:rFonts w:cstheme="minorHAnsi"/>
                <w:sz w:val="24"/>
                <w:szCs w:val="24"/>
                <w:lang w:val="es-ES"/>
              </w:rPr>
              <w:t>College</w:t>
            </w:r>
            <w:proofErr w:type="spellEnd"/>
            <w:r w:rsidRPr="000A1A1E">
              <w:rPr>
                <w:rFonts w:cstheme="minorHAnsi"/>
                <w:sz w:val="24"/>
                <w:szCs w:val="24"/>
                <w:lang w:val="es-ES"/>
              </w:rPr>
              <w:t xml:space="preserve"> de Nueva York, donde estaba matriculada. A Alemania se iría mucho más tarde. En ese momento llevaba cinco años casada.</w:t>
            </w:r>
          </w:p>
        </w:tc>
        <w:tc>
          <w:tcPr>
            <w:tcW w:w="7938" w:type="dxa"/>
          </w:tcPr>
          <w:p w14:paraId="6F4C9021" w14:textId="77777777" w:rsidR="00605CBE" w:rsidRPr="000A1A1E" w:rsidRDefault="00605CBE" w:rsidP="00617CA7">
            <w:pPr>
              <w:bidi w:val="0"/>
              <w:jc w:val="both"/>
              <w:rPr>
                <w:rFonts w:cstheme="minorHAnsi"/>
                <w:sz w:val="24"/>
                <w:szCs w:val="24"/>
                <w:lang w:val="es-ES"/>
              </w:rPr>
            </w:pPr>
            <w:r w:rsidRPr="000A1A1E">
              <w:rPr>
                <w:rFonts w:ascii="roboto_slab_regular" w:hAnsi="roboto_slab_regular"/>
                <w:color w:val="393939"/>
                <w:bdr w:val="none" w:sz="0" w:space="0" w:color="auto" w:frame="1"/>
                <w:lang w:val="es-ES"/>
              </w:rPr>
              <w:t xml:space="preserve">Poco ortodoxa' es la historia de </w:t>
            </w:r>
            <w:proofErr w:type="spellStart"/>
            <w:r w:rsidRPr="000A1A1E">
              <w:rPr>
                <w:rFonts w:ascii="roboto_slab_regular" w:hAnsi="roboto_slab_regular"/>
                <w:color w:val="393939"/>
                <w:bdr w:val="none" w:sz="0" w:space="0" w:color="auto" w:frame="1"/>
                <w:lang w:val="es-ES"/>
              </w:rPr>
              <w:t>Esty</w:t>
            </w:r>
            <w:proofErr w:type="spellEnd"/>
            <w:r w:rsidRPr="000A1A1E">
              <w:rPr>
                <w:rFonts w:ascii="roboto_slab_regular" w:hAnsi="roboto_slab_regular"/>
                <w:color w:val="393939"/>
                <w:bdr w:val="none" w:sz="0" w:space="0" w:color="auto" w:frame="1"/>
                <w:lang w:val="es-ES"/>
              </w:rPr>
              <w:t>, Esther Shapiro), una joven de 19 años que vive en Williamsburg, un barrio en Nueva York, y en específico con la peculiar comunidad jasídica; </w:t>
            </w:r>
            <w:r w:rsidRPr="000A1A1E">
              <w:rPr>
                <w:rFonts w:ascii="roboto_slab_regular" w:hAnsi="roboto_slab_regular"/>
                <w:color w:val="393939"/>
                <w:lang w:val="es-ES"/>
              </w:rPr>
              <w:t xml:space="preserve">está casada por arreglo, su esposo la viola; la familia de él la presiona para que quede embarazada y su vida se convierte en una cárcel. </w:t>
            </w:r>
          </w:p>
        </w:tc>
      </w:tr>
      <w:tr w:rsidR="00605CBE" w:rsidRPr="000A1A1E" w14:paraId="0E4806DE" w14:textId="77777777" w:rsidTr="00605CBE">
        <w:tc>
          <w:tcPr>
            <w:tcW w:w="7655" w:type="dxa"/>
          </w:tcPr>
          <w:p w14:paraId="721AB8C1"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 xml:space="preserve">Los judíos como los musulmanes no comen cerdo. Es un alimento prohibido. Por eso </w:t>
            </w:r>
            <w:proofErr w:type="spellStart"/>
            <w:r w:rsidRPr="000A1A1E">
              <w:rPr>
                <w:rFonts w:cstheme="minorHAnsi"/>
                <w:sz w:val="24"/>
                <w:szCs w:val="24"/>
                <w:lang w:val="es-ES"/>
              </w:rPr>
              <w:t>Esty</w:t>
            </w:r>
            <w:proofErr w:type="spellEnd"/>
            <w:r w:rsidRPr="000A1A1E">
              <w:rPr>
                <w:rFonts w:cstheme="minorHAnsi"/>
                <w:sz w:val="24"/>
                <w:szCs w:val="24"/>
                <w:lang w:val="es-ES"/>
              </w:rPr>
              <w:t xml:space="preserve"> sale corriendo cuando lo prueba en un café de Berlín. Piensa que le va a hacer vomitar. Feldman vivió algo similar. “Parecía un trozo de carne cualquiera y lo metí en la boca. Después de tragarlo me gritó un amigo: ‘¡Acabas de comer cerdo!’ </w:t>
            </w:r>
            <w:proofErr w:type="spellStart"/>
            <w:r w:rsidRPr="000A1A1E">
              <w:rPr>
                <w:rFonts w:cstheme="minorHAnsi"/>
                <w:sz w:val="24"/>
                <w:szCs w:val="24"/>
              </w:rPr>
              <w:t>Sorprendentemente</w:t>
            </w:r>
            <w:proofErr w:type="spellEnd"/>
            <w:r w:rsidRPr="000A1A1E">
              <w:rPr>
                <w:rFonts w:cstheme="minorHAnsi"/>
                <w:sz w:val="24"/>
                <w:szCs w:val="24"/>
              </w:rPr>
              <w:t xml:space="preserve"> no </w:t>
            </w:r>
            <w:proofErr w:type="spellStart"/>
            <w:r w:rsidRPr="000A1A1E">
              <w:rPr>
                <w:rFonts w:cstheme="minorHAnsi"/>
                <w:sz w:val="24"/>
                <w:szCs w:val="24"/>
              </w:rPr>
              <w:t>cayó</w:t>
            </w:r>
            <w:proofErr w:type="spellEnd"/>
            <w:r w:rsidRPr="000A1A1E">
              <w:rPr>
                <w:rFonts w:cstheme="minorHAnsi"/>
                <w:sz w:val="24"/>
                <w:szCs w:val="24"/>
              </w:rPr>
              <w:t xml:space="preserve"> </w:t>
            </w:r>
            <w:proofErr w:type="spellStart"/>
            <w:r w:rsidRPr="000A1A1E">
              <w:rPr>
                <w:rFonts w:cstheme="minorHAnsi"/>
                <w:sz w:val="24"/>
                <w:szCs w:val="24"/>
              </w:rPr>
              <w:t>ningún</w:t>
            </w:r>
            <w:proofErr w:type="spellEnd"/>
            <w:r w:rsidRPr="000A1A1E">
              <w:rPr>
                <w:rFonts w:cstheme="minorHAnsi"/>
                <w:sz w:val="24"/>
                <w:szCs w:val="24"/>
              </w:rPr>
              <w:t xml:space="preserve"> </w:t>
            </w:r>
            <w:proofErr w:type="spellStart"/>
            <w:r w:rsidRPr="000A1A1E">
              <w:rPr>
                <w:rFonts w:cstheme="minorHAnsi"/>
                <w:sz w:val="24"/>
                <w:szCs w:val="24"/>
              </w:rPr>
              <w:t>rayo</w:t>
            </w:r>
            <w:proofErr w:type="spellEnd"/>
            <w:r w:rsidRPr="000A1A1E">
              <w:rPr>
                <w:rFonts w:cstheme="minorHAnsi"/>
                <w:sz w:val="24"/>
                <w:szCs w:val="24"/>
              </w:rPr>
              <w:t>”</w:t>
            </w:r>
          </w:p>
        </w:tc>
        <w:tc>
          <w:tcPr>
            <w:tcW w:w="7938" w:type="dxa"/>
          </w:tcPr>
          <w:p w14:paraId="062EBC27" w14:textId="77777777" w:rsidR="00605CBE" w:rsidRPr="000A1A1E" w:rsidRDefault="00605CBE" w:rsidP="00617CA7">
            <w:pPr>
              <w:pStyle w:val="NormalWeb"/>
              <w:shd w:val="clear" w:color="auto" w:fill="FFFFFF"/>
              <w:spacing w:before="120" w:beforeAutospacing="0" w:after="120" w:afterAutospacing="0"/>
              <w:jc w:val="both"/>
              <w:rPr>
                <w:rFonts w:asciiTheme="minorHAnsi" w:hAnsiTheme="minorHAnsi" w:cstheme="minorHAnsi"/>
              </w:rPr>
            </w:pPr>
            <w:r w:rsidRPr="000A1A1E">
              <w:rPr>
                <w:rFonts w:asciiTheme="minorHAnsi" w:hAnsiTheme="minorHAnsi" w:cstheme="minorHAnsi"/>
                <w:lang w:val="es-ES"/>
              </w:rPr>
              <w:t>La </w:t>
            </w:r>
            <w:proofErr w:type="spellStart"/>
            <w:r w:rsidRPr="000A1A1E">
              <w:rPr>
                <w:rFonts w:asciiTheme="minorHAnsi" w:hAnsiTheme="minorHAnsi" w:cstheme="minorHAnsi"/>
                <w:b/>
                <w:bCs/>
                <w:lang w:val="es-ES"/>
              </w:rPr>
              <w:t>kashrut</w:t>
            </w:r>
            <w:proofErr w:type="spellEnd"/>
            <w:r w:rsidRPr="000A1A1E">
              <w:rPr>
                <w:rFonts w:asciiTheme="minorHAnsi" w:hAnsiTheme="minorHAnsi" w:cstheme="minorHAnsi"/>
                <w:lang w:val="es-ES"/>
              </w:rPr>
              <w:t> (del </w:t>
            </w:r>
            <w:hyperlink r:id="rId7" w:tooltip="Idioma hebreo" w:history="1">
              <w:r w:rsidRPr="000A1A1E">
                <w:rPr>
                  <w:rStyle w:val="Hyperlink"/>
                  <w:rFonts w:asciiTheme="minorHAnsi" w:hAnsiTheme="minorHAnsi" w:cstheme="minorHAnsi"/>
                  <w:color w:val="auto"/>
                  <w:lang w:val="es-ES"/>
                </w:rPr>
                <w:t>hebreo</w:t>
              </w:r>
            </w:hyperlink>
            <w:r w:rsidRPr="000A1A1E">
              <w:rPr>
                <w:rFonts w:asciiTheme="minorHAnsi" w:hAnsiTheme="minorHAnsi" w:cstheme="minorHAnsi"/>
                <w:lang w:val="es-ES"/>
              </w:rPr>
              <w:t> </w:t>
            </w:r>
            <w:r w:rsidRPr="000A1A1E">
              <w:rPr>
                <w:rFonts w:asciiTheme="minorHAnsi" w:hAnsiTheme="minorHAnsi" w:cstheme="minorHAnsi"/>
                <w:rtl/>
              </w:rPr>
              <w:t>כַּשְׁרוּת</w:t>
            </w:r>
            <w:r w:rsidRPr="000A1A1E">
              <w:rPr>
                <w:rFonts w:asciiTheme="minorHAnsi" w:hAnsiTheme="minorHAnsi" w:cstheme="minorHAnsi"/>
                <w:lang w:val="es-ES"/>
              </w:rPr>
              <w:t xml:space="preserve">, designa aquello "correcto" o "apropiado" para ser consumido; aquello que cumple con los preceptos del </w:t>
            </w:r>
            <w:proofErr w:type="spellStart"/>
            <w:r w:rsidRPr="000A1A1E">
              <w:rPr>
                <w:rFonts w:asciiTheme="minorHAnsi" w:hAnsiTheme="minorHAnsi" w:cstheme="minorHAnsi"/>
                <w:lang w:val="es-ES"/>
              </w:rPr>
              <w:t>kashrut</w:t>
            </w:r>
            <w:proofErr w:type="spellEnd"/>
            <w:r w:rsidRPr="000A1A1E">
              <w:rPr>
                <w:rFonts w:asciiTheme="minorHAnsi" w:hAnsiTheme="minorHAnsi" w:cstheme="minorHAnsi"/>
                <w:lang w:val="es-ES"/>
              </w:rPr>
              <w:t xml:space="preserve"> es </w:t>
            </w:r>
            <w:proofErr w:type="spellStart"/>
            <w:r w:rsidRPr="000A1A1E">
              <w:rPr>
                <w:rFonts w:asciiTheme="minorHAnsi" w:hAnsiTheme="minorHAnsi" w:cstheme="minorHAnsi"/>
                <w:b/>
                <w:bCs/>
                <w:lang w:val="es-ES"/>
              </w:rPr>
              <w:t>kasher</w:t>
            </w:r>
            <w:proofErr w:type="spellEnd"/>
            <w:r w:rsidRPr="000A1A1E">
              <w:rPr>
                <w:rFonts w:asciiTheme="minorHAnsi" w:hAnsiTheme="minorHAnsi" w:cstheme="minorHAnsi"/>
                <w:lang w:val="es-ES"/>
              </w:rPr>
              <w:t>, </w:t>
            </w:r>
            <w:r w:rsidRPr="000A1A1E">
              <w:rPr>
                <w:rFonts w:asciiTheme="minorHAnsi" w:hAnsiTheme="minorHAnsi" w:cstheme="minorHAnsi"/>
                <w:rtl/>
              </w:rPr>
              <w:t>כָּשֵׁר</w:t>
            </w:r>
            <w:r w:rsidRPr="000A1A1E">
              <w:rPr>
                <w:rFonts w:asciiTheme="minorHAnsi" w:hAnsiTheme="minorHAnsi" w:cstheme="minorHAnsi"/>
                <w:lang w:val="es-ES"/>
              </w:rPr>
              <w:t>, conocido también por su pronunciación en </w:t>
            </w:r>
            <w:hyperlink r:id="rId8" w:tooltip="Yídish" w:history="1">
              <w:r w:rsidRPr="000A1A1E">
                <w:rPr>
                  <w:rStyle w:val="Hyperlink"/>
                  <w:rFonts w:asciiTheme="minorHAnsi" w:hAnsiTheme="minorHAnsi" w:cstheme="minorHAnsi"/>
                  <w:color w:val="auto"/>
                  <w:lang w:val="es-ES"/>
                </w:rPr>
                <w:t>yídish</w:t>
              </w:r>
            </w:hyperlink>
            <w:r w:rsidRPr="000A1A1E">
              <w:rPr>
                <w:rFonts w:asciiTheme="minorHAnsi" w:hAnsiTheme="minorHAnsi" w:cstheme="minorHAnsi"/>
                <w:lang w:val="es-ES"/>
              </w:rPr>
              <w:t>, </w:t>
            </w:r>
            <w:r w:rsidRPr="000A1A1E">
              <w:rPr>
                <w:rFonts w:asciiTheme="minorHAnsi" w:hAnsiTheme="minorHAnsi" w:cstheme="minorHAnsi"/>
                <w:b/>
                <w:bCs/>
                <w:lang w:val="es-ES"/>
              </w:rPr>
              <w:t>kósher</w:t>
            </w:r>
            <w:r w:rsidRPr="000A1A1E">
              <w:rPr>
                <w:rFonts w:asciiTheme="minorHAnsi" w:hAnsiTheme="minorHAnsi" w:cstheme="minorHAnsi"/>
                <w:lang w:val="es-ES"/>
              </w:rPr>
              <w:t>) es la parte de los preceptos de la religión </w:t>
            </w:r>
            <w:hyperlink r:id="rId9" w:tooltip="Judaísmo" w:history="1">
              <w:r w:rsidRPr="000A1A1E">
                <w:rPr>
                  <w:rStyle w:val="Hyperlink"/>
                  <w:rFonts w:asciiTheme="minorHAnsi" w:hAnsiTheme="minorHAnsi" w:cstheme="minorHAnsi"/>
                  <w:color w:val="auto"/>
                  <w:lang w:val="es-ES"/>
                </w:rPr>
                <w:t>judía</w:t>
              </w:r>
            </w:hyperlink>
            <w:r w:rsidRPr="000A1A1E">
              <w:rPr>
                <w:rFonts w:asciiTheme="minorHAnsi" w:hAnsiTheme="minorHAnsi" w:cstheme="minorHAnsi"/>
                <w:lang w:val="es-ES"/>
              </w:rPr>
              <w:t> que trata de lo que los practicantes pueden y no pueden ingerir, basado en los preceptos </w:t>
            </w:r>
            <w:hyperlink r:id="rId10" w:tooltip="Biblia" w:history="1">
              <w:r w:rsidRPr="000A1A1E">
                <w:rPr>
                  <w:rStyle w:val="Hyperlink"/>
                  <w:rFonts w:asciiTheme="minorHAnsi" w:hAnsiTheme="minorHAnsi" w:cstheme="minorHAnsi"/>
                  <w:color w:val="auto"/>
                  <w:lang w:val="es-ES"/>
                </w:rPr>
                <w:t>bíblicos</w:t>
              </w:r>
            </w:hyperlink>
            <w:r w:rsidRPr="000A1A1E">
              <w:rPr>
                <w:rFonts w:asciiTheme="minorHAnsi" w:hAnsiTheme="minorHAnsi" w:cstheme="minorHAnsi"/>
                <w:lang w:val="es-ES"/>
              </w:rPr>
              <w:t> del </w:t>
            </w:r>
            <w:hyperlink r:id="rId11" w:tooltip="Levítico" w:history="1">
              <w:r w:rsidRPr="000A1A1E">
                <w:rPr>
                  <w:rStyle w:val="Hyperlink"/>
                  <w:rFonts w:asciiTheme="minorHAnsi" w:hAnsiTheme="minorHAnsi" w:cstheme="minorHAnsi"/>
                  <w:color w:val="auto"/>
                  <w:lang w:val="es-ES"/>
                </w:rPr>
                <w:t>Levítico</w:t>
              </w:r>
            </w:hyperlink>
            <w:r w:rsidRPr="000A1A1E">
              <w:rPr>
                <w:rFonts w:asciiTheme="minorHAnsi" w:hAnsiTheme="minorHAnsi" w:cstheme="minorHAnsi"/>
                <w:lang w:val="es-ES"/>
              </w:rPr>
              <w:t> (uno de los libros bíblicos del </w:t>
            </w:r>
            <w:hyperlink r:id="rId12" w:tooltip="Antiguo Testamento" w:history="1">
              <w:r w:rsidRPr="000A1A1E">
                <w:rPr>
                  <w:rStyle w:val="Hyperlink"/>
                  <w:rFonts w:asciiTheme="minorHAnsi" w:hAnsiTheme="minorHAnsi" w:cstheme="minorHAnsi"/>
                  <w:color w:val="auto"/>
                  <w:lang w:val="es-ES"/>
                </w:rPr>
                <w:t>Antiguo Testamento</w:t>
              </w:r>
            </w:hyperlink>
            <w:r w:rsidRPr="000A1A1E">
              <w:rPr>
                <w:rFonts w:asciiTheme="minorHAnsi" w:hAnsiTheme="minorHAnsi" w:cstheme="minorHAnsi"/>
                <w:lang w:val="es-ES"/>
              </w:rPr>
              <w:t> y del </w:t>
            </w:r>
            <w:hyperlink r:id="rId13" w:tooltip="Tanaj" w:history="1">
              <w:r w:rsidRPr="000A1A1E">
                <w:rPr>
                  <w:rStyle w:val="Hyperlink"/>
                  <w:rFonts w:asciiTheme="minorHAnsi" w:hAnsiTheme="minorHAnsi" w:cstheme="minorHAnsi"/>
                  <w:i/>
                  <w:iCs/>
                  <w:color w:val="auto"/>
                  <w:lang w:val="es-ES"/>
                </w:rPr>
                <w:t>Tanaj</w:t>
              </w:r>
            </w:hyperlink>
            <w:r w:rsidRPr="000A1A1E">
              <w:rPr>
                <w:rFonts w:asciiTheme="minorHAnsi" w:hAnsiTheme="minorHAnsi" w:cstheme="minorHAnsi"/>
                <w:lang w:val="es-ES"/>
              </w:rPr>
              <w:t>).</w:t>
            </w:r>
          </w:p>
          <w:p w14:paraId="49F4D758" w14:textId="77777777" w:rsidR="00605CBE" w:rsidRPr="000A1A1E" w:rsidRDefault="00605CBE" w:rsidP="00617CA7">
            <w:pPr>
              <w:pStyle w:val="NormalWeb"/>
              <w:shd w:val="clear" w:color="auto" w:fill="FFFFFF"/>
              <w:spacing w:before="120" w:beforeAutospacing="0" w:after="120" w:afterAutospacing="0"/>
              <w:jc w:val="both"/>
              <w:rPr>
                <w:rFonts w:asciiTheme="minorHAnsi" w:hAnsiTheme="minorHAnsi" w:cstheme="minorHAnsi"/>
                <w:lang w:val="es-ES"/>
              </w:rPr>
            </w:pPr>
            <w:r w:rsidRPr="000A1A1E">
              <w:rPr>
                <w:rFonts w:asciiTheme="minorHAnsi" w:hAnsiTheme="minorHAnsi" w:cstheme="minorHAnsi"/>
                <w:lang w:val="es-ES"/>
              </w:rPr>
              <w:t xml:space="preserve">Usualmente se asocia la idea de </w:t>
            </w:r>
            <w:proofErr w:type="spellStart"/>
            <w:r w:rsidRPr="000A1A1E">
              <w:rPr>
                <w:rFonts w:asciiTheme="minorHAnsi" w:hAnsiTheme="minorHAnsi" w:cstheme="minorHAnsi"/>
                <w:lang w:val="es-ES"/>
              </w:rPr>
              <w:t>kashrut</w:t>
            </w:r>
            <w:proofErr w:type="spellEnd"/>
            <w:r w:rsidRPr="000A1A1E">
              <w:rPr>
                <w:rFonts w:asciiTheme="minorHAnsi" w:hAnsiTheme="minorHAnsi" w:cstheme="minorHAnsi"/>
                <w:lang w:val="es-ES"/>
              </w:rPr>
              <w:t xml:space="preserve"> con dos de las costumbres alimenticias de los judíos: la que establece que los cárnicos no deben ser consumidos al mismo tiempo que los lácteos; y la que prohíbe a los judíos comer carne porcina </w:t>
            </w:r>
            <w:r w:rsidRPr="000A1A1E">
              <w:rPr>
                <w:rFonts w:asciiTheme="minorHAnsi" w:hAnsiTheme="minorHAnsi" w:cstheme="minorHAnsi"/>
                <w:lang w:val="es-ES"/>
              </w:rPr>
              <w:lastRenderedPageBreak/>
              <w:t>en cualquiera de sus formas (</w:t>
            </w:r>
            <w:hyperlink r:id="rId14" w:history="1">
              <w:r w:rsidRPr="000A1A1E">
                <w:rPr>
                  <w:rStyle w:val="Hyperlink"/>
                  <w:rFonts w:asciiTheme="minorHAnsi" w:hAnsiTheme="minorHAnsi" w:cstheme="minorHAnsi"/>
                  <w:color w:val="auto"/>
                  <w:lang w:val="es-ES"/>
                </w:rPr>
                <w:t>Levítico</w:t>
              </w:r>
            </w:hyperlink>
            <w:r w:rsidRPr="000A1A1E">
              <w:rPr>
                <w:rFonts w:asciiTheme="minorHAnsi" w:hAnsiTheme="minorHAnsi" w:cstheme="minorHAnsi"/>
                <w:lang w:val="es-ES"/>
              </w:rPr>
              <w:t xml:space="preserve">). Esta idea de lo que es </w:t>
            </w:r>
            <w:proofErr w:type="spellStart"/>
            <w:r w:rsidRPr="000A1A1E">
              <w:rPr>
                <w:rFonts w:asciiTheme="minorHAnsi" w:hAnsiTheme="minorHAnsi" w:cstheme="minorHAnsi"/>
                <w:lang w:val="es-ES"/>
              </w:rPr>
              <w:t>kasher</w:t>
            </w:r>
            <w:proofErr w:type="spellEnd"/>
            <w:r w:rsidRPr="000A1A1E">
              <w:rPr>
                <w:rFonts w:asciiTheme="minorHAnsi" w:hAnsiTheme="minorHAnsi" w:cstheme="minorHAnsi"/>
                <w:lang w:val="es-ES"/>
              </w:rPr>
              <w:t xml:space="preserve"> es sólo parcialmente correcta, pues el concepto en realidad es mucho más vasto y se extiende a prácticamente todos los alimentos y, ciertamente, a los mencionados anteriormente.</w:t>
            </w:r>
          </w:p>
          <w:p w14:paraId="50F62721" w14:textId="77777777" w:rsidR="00605CBE" w:rsidRPr="000A1A1E" w:rsidRDefault="00605CBE" w:rsidP="00617CA7">
            <w:pPr>
              <w:pStyle w:val="NormalWeb"/>
              <w:shd w:val="clear" w:color="auto" w:fill="FFFFFF"/>
              <w:spacing w:before="120" w:beforeAutospacing="0" w:after="120" w:afterAutospacing="0"/>
              <w:jc w:val="both"/>
              <w:rPr>
                <w:rFonts w:asciiTheme="minorHAnsi" w:hAnsiTheme="minorHAnsi" w:cstheme="minorHAnsi"/>
                <w:lang w:val="es-ES"/>
              </w:rPr>
            </w:pPr>
          </w:p>
        </w:tc>
      </w:tr>
      <w:tr w:rsidR="00605CBE" w:rsidRPr="000A1A1E" w14:paraId="78F1B934" w14:textId="77777777" w:rsidTr="00605CBE">
        <w:tc>
          <w:tcPr>
            <w:tcW w:w="7655" w:type="dxa"/>
          </w:tcPr>
          <w:p w14:paraId="7C3C1902"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lastRenderedPageBreak/>
              <w:t xml:space="preserve">Mientras que la música le dio las alas a </w:t>
            </w:r>
            <w:proofErr w:type="spellStart"/>
            <w:r w:rsidRPr="000A1A1E">
              <w:rPr>
                <w:rFonts w:cstheme="minorHAnsi"/>
                <w:sz w:val="24"/>
                <w:szCs w:val="24"/>
                <w:lang w:val="es-ES"/>
              </w:rPr>
              <w:t>Esty</w:t>
            </w:r>
            <w:proofErr w:type="spellEnd"/>
            <w:r w:rsidRPr="000A1A1E">
              <w:rPr>
                <w:rFonts w:cstheme="minorHAnsi"/>
                <w:sz w:val="24"/>
                <w:szCs w:val="24"/>
                <w:lang w:val="es-ES"/>
              </w:rPr>
              <w:t>, las letras se las dieron a Feldman siendo muy joven. Los libros que le abrieron los ojos fueron </w:t>
            </w:r>
            <w:r w:rsidRPr="000A1A1E">
              <w:rPr>
                <w:rStyle w:val="Emphasis"/>
                <w:rFonts w:cstheme="minorHAnsi"/>
                <w:sz w:val="24"/>
                <w:szCs w:val="24"/>
                <w:lang w:val="es-ES"/>
              </w:rPr>
              <w:t>Mujercitas</w:t>
            </w:r>
            <w:r w:rsidRPr="000A1A1E">
              <w:rPr>
                <w:rFonts w:cstheme="minorHAnsi"/>
                <w:sz w:val="24"/>
                <w:szCs w:val="24"/>
                <w:lang w:val="es-ES"/>
              </w:rPr>
              <w:t> y </w:t>
            </w:r>
            <w:r w:rsidRPr="000A1A1E">
              <w:rPr>
                <w:rStyle w:val="Emphasis"/>
                <w:rFonts w:cstheme="minorHAnsi"/>
                <w:sz w:val="24"/>
                <w:szCs w:val="24"/>
                <w:lang w:val="es-ES"/>
              </w:rPr>
              <w:t>Ana de las Tejas verdes. </w:t>
            </w:r>
            <w:r w:rsidRPr="000A1A1E">
              <w:rPr>
                <w:rFonts w:cstheme="minorHAnsi"/>
                <w:sz w:val="24"/>
                <w:szCs w:val="24"/>
                <w:lang w:val="es-ES"/>
              </w:rPr>
              <w:t>“Tal vez no usase pintauñas rojo como las mujeres no judías, pero vivía indirectamente en ese mundo malvado a través de los personajes de ficción (...) Mi abuelo solía decir que el inglés era un idioma impuro y emplearlo de cualquier manera significaba que Satanás dirigía mi corazón”, escribió en 2010. “No había duda de que mi corazón ya estaba completamente ennegrecido cuando tenía 10 años”.</w:t>
            </w:r>
          </w:p>
        </w:tc>
        <w:tc>
          <w:tcPr>
            <w:tcW w:w="7938" w:type="dxa"/>
          </w:tcPr>
          <w:p w14:paraId="289861EE" w14:textId="77777777" w:rsidR="00605CBE" w:rsidRPr="000A1A1E" w:rsidRDefault="00605CBE" w:rsidP="00617CA7">
            <w:pPr>
              <w:bidi w:val="0"/>
              <w:jc w:val="both"/>
              <w:rPr>
                <w:rFonts w:cstheme="minorHAnsi"/>
                <w:sz w:val="24"/>
                <w:szCs w:val="24"/>
                <w:lang w:val="es-ES"/>
              </w:rPr>
            </w:pPr>
            <w:r w:rsidRPr="000A1A1E">
              <w:rPr>
                <w:rFonts w:cstheme="minorHAnsi"/>
                <w:sz w:val="24"/>
                <w:szCs w:val="24"/>
                <w:lang w:val="es-ES"/>
              </w:rPr>
              <w:t xml:space="preserve">Igual que </w:t>
            </w:r>
            <w:proofErr w:type="spellStart"/>
            <w:r w:rsidRPr="000A1A1E">
              <w:rPr>
                <w:rFonts w:cstheme="minorHAnsi"/>
                <w:sz w:val="24"/>
                <w:szCs w:val="24"/>
                <w:lang w:val="es-ES"/>
              </w:rPr>
              <w:t>Esty</w:t>
            </w:r>
            <w:proofErr w:type="spellEnd"/>
            <w:r w:rsidRPr="000A1A1E">
              <w:rPr>
                <w:rFonts w:cstheme="minorHAnsi"/>
                <w:sz w:val="24"/>
                <w:szCs w:val="24"/>
                <w:lang w:val="es-ES"/>
              </w:rPr>
              <w:t>, Feldman creció con sus abuelos. Lo contó en 2017 en </w:t>
            </w:r>
            <w:proofErr w:type="spellStart"/>
            <w:r w:rsidRPr="000A1A1E">
              <w:rPr>
                <w:rFonts w:cstheme="minorHAnsi"/>
                <w:sz w:val="24"/>
                <w:szCs w:val="24"/>
              </w:rPr>
              <w:fldChar w:fldCharType="begin"/>
            </w:r>
            <w:r w:rsidRPr="000A1A1E">
              <w:rPr>
                <w:rFonts w:cstheme="minorHAnsi"/>
                <w:sz w:val="24"/>
                <w:szCs w:val="24"/>
                <w:lang w:val="es-ES"/>
              </w:rPr>
              <w:instrText xml:space="preserve"> HYPERLINK "https://www.nytimes.com/2017/12/20/books/an-american-jewish-author-now-calls-germany-home.html" \t "_blank" </w:instrText>
            </w:r>
            <w:r w:rsidRPr="000A1A1E">
              <w:rPr>
                <w:rFonts w:cstheme="minorHAnsi"/>
                <w:sz w:val="24"/>
                <w:szCs w:val="24"/>
              </w:rPr>
              <w:fldChar w:fldCharType="separate"/>
            </w:r>
            <w:r w:rsidRPr="000A1A1E">
              <w:rPr>
                <w:rStyle w:val="Emphasis"/>
                <w:rFonts w:cstheme="minorHAnsi"/>
                <w:sz w:val="24"/>
                <w:szCs w:val="24"/>
                <w:u w:val="single"/>
                <w:lang w:val="es-ES"/>
              </w:rPr>
              <w:t>The</w:t>
            </w:r>
            <w:proofErr w:type="spellEnd"/>
            <w:r w:rsidRPr="000A1A1E">
              <w:rPr>
                <w:rStyle w:val="Emphasis"/>
                <w:rFonts w:cstheme="minorHAnsi"/>
                <w:sz w:val="24"/>
                <w:szCs w:val="24"/>
                <w:u w:val="single"/>
                <w:lang w:val="es-ES"/>
              </w:rPr>
              <w:t xml:space="preserve"> New York Times</w:t>
            </w:r>
            <w:r w:rsidRPr="000A1A1E">
              <w:rPr>
                <w:rFonts w:cstheme="minorHAnsi"/>
                <w:sz w:val="24"/>
                <w:szCs w:val="24"/>
              </w:rPr>
              <w:fldChar w:fldCharType="end"/>
            </w:r>
            <w:r w:rsidRPr="000A1A1E">
              <w:rPr>
                <w:rFonts w:cstheme="minorHAnsi"/>
                <w:sz w:val="24"/>
                <w:szCs w:val="24"/>
                <w:lang w:val="es-ES"/>
              </w:rPr>
              <w:t>. Fue criada por “una abuela amorosa pero traumatizada que había sobrevivido tras pasar por varios campos de concentración nazis, incluidos Auschwitz y Bergen-</w:t>
            </w:r>
            <w:proofErr w:type="spellStart"/>
            <w:r w:rsidRPr="000A1A1E">
              <w:rPr>
                <w:rFonts w:cstheme="minorHAnsi"/>
                <w:sz w:val="24"/>
                <w:szCs w:val="24"/>
                <w:lang w:val="es-ES"/>
              </w:rPr>
              <w:t>Belsen</w:t>
            </w:r>
            <w:proofErr w:type="spellEnd"/>
            <w:r w:rsidRPr="000A1A1E">
              <w:rPr>
                <w:rFonts w:cstheme="minorHAnsi"/>
                <w:sz w:val="24"/>
                <w:szCs w:val="24"/>
                <w:lang w:val="es-ES"/>
              </w:rPr>
              <w:t>”, su padre tenía una enfermedad mental y su madre (también homosexual como la de la serie) dejó la comunidad cuando era joven.</w:t>
            </w:r>
          </w:p>
        </w:tc>
      </w:tr>
      <w:tr w:rsidR="00605CBE" w:rsidRPr="000A1A1E" w14:paraId="7DF2F644" w14:textId="77777777" w:rsidTr="00605CBE">
        <w:tc>
          <w:tcPr>
            <w:tcW w:w="7655" w:type="dxa"/>
          </w:tcPr>
          <w:p w14:paraId="6C5B069C" w14:textId="77777777" w:rsidR="00605CBE" w:rsidRPr="000A1A1E" w:rsidRDefault="00605CBE" w:rsidP="00617CA7">
            <w:pPr>
              <w:pStyle w:val="NormalWeb"/>
              <w:spacing w:before="0" w:beforeAutospacing="0" w:after="0" w:afterAutospacing="0"/>
              <w:jc w:val="both"/>
              <w:rPr>
                <w:rFonts w:asciiTheme="minorHAnsi" w:hAnsiTheme="minorHAnsi" w:cstheme="minorHAnsi"/>
                <w:lang w:val="es-ES"/>
              </w:rPr>
            </w:pPr>
            <w:r w:rsidRPr="000A1A1E">
              <w:rPr>
                <w:rFonts w:asciiTheme="minorHAnsi" w:hAnsiTheme="minorHAnsi" w:cstheme="minorHAnsi"/>
                <w:lang w:val="es-ES"/>
              </w:rPr>
              <w:t>La única regla que le dieron antes de casarse es “no debía mirar los genitales” suyos ni de su pareja: “Siempre tiene que estar oscuro. No hay ningún agujero en la sábana, pero está muy oscuro y no se ve nada”.</w:t>
            </w:r>
          </w:p>
          <w:p w14:paraId="7B197F49" w14:textId="77777777" w:rsidR="00605CBE" w:rsidRPr="000A1A1E" w:rsidRDefault="00605CBE" w:rsidP="00617CA7">
            <w:pPr>
              <w:pStyle w:val="cli-pullquotequote"/>
              <w:spacing w:before="0" w:beforeAutospacing="0" w:after="0" w:afterAutospacing="0"/>
              <w:jc w:val="both"/>
              <w:rPr>
                <w:rFonts w:asciiTheme="minorHAnsi" w:hAnsiTheme="minorHAnsi" w:cstheme="minorHAnsi"/>
                <w:lang w:val="es-ES"/>
              </w:rPr>
            </w:pPr>
            <w:r w:rsidRPr="000A1A1E">
              <w:rPr>
                <w:rFonts w:asciiTheme="minorHAnsi" w:hAnsiTheme="minorHAnsi" w:cstheme="minorHAnsi"/>
                <w:lang w:val="es-ES"/>
              </w:rPr>
              <w:t>. Después de la primera vez, tienes que llamar a un rabino para que haga preguntas al hombre”</w:t>
            </w:r>
          </w:p>
          <w:p w14:paraId="1C351406" w14:textId="77777777" w:rsidR="00605CBE" w:rsidRPr="000A1A1E" w:rsidRDefault="00605CBE" w:rsidP="00617CA7">
            <w:pPr>
              <w:pStyle w:val="NormalWeb"/>
              <w:spacing w:before="0" w:beforeAutospacing="0" w:after="0" w:afterAutospacing="0"/>
              <w:jc w:val="both"/>
              <w:rPr>
                <w:rFonts w:asciiTheme="minorHAnsi" w:hAnsiTheme="minorHAnsi" w:cstheme="minorHAnsi"/>
                <w:lang w:val="es-ES"/>
              </w:rPr>
            </w:pPr>
            <w:r w:rsidRPr="000A1A1E">
              <w:rPr>
                <w:rFonts w:asciiTheme="minorHAnsi" w:hAnsiTheme="minorHAnsi" w:cstheme="minorHAnsi"/>
                <w:lang w:val="es-ES"/>
              </w:rPr>
              <w:t>“Hay muchas torpezas y llevas el camisón enrollado hasta la cintura. No se tocan los pechos. ¡Los míos fueron totalmente desperdiciados! No hay sexo oral. Después de la primera vez, tienes que llamar a un rabino para que haga preguntas al hombre”, explicó en esa misma entrevista. “Una vez que has consumado, te conviertes en inmundo porque has sangrado. Entonces, después de la primera vez, tu luna de miel se convierte en un período sin sexo”.</w:t>
            </w:r>
          </w:p>
        </w:tc>
        <w:tc>
          <w:tcPr>
            <w:tcW w:w="7938" w:type="dxa"/>
          </w:tcPr>
          <w:p w14:paraId="3B4DF170" w14:textId="77777777" w:rsidR="00605CBE" w:rsidRPr="000A1A1E" w:rsidRDefault="00605CBE" w:rsidP="00617CA7">
            <w:pPr>
              <w:pStyle w:val="NormalWeb"/>
              <w:spacing w:before="0" w:beforeAutospacing="0" w:after="0" w:afterAutospacing="0"/>
              <w:jc w:val="both"/>
              <w:rPr>
                <w:rFonts w:asciiTheme="minorHAnsi" w:hAnsiTheme="minorHAnsi" w:cstheme="minorHAnsi"/>
                <w:lang w:val="es-ES"/>
              </w:rPr>
            </w:pPr>
            <w:proofErr w:type="spellStart"/>
            <w:r w:rsidRPr="000A1A1E">
              <w:rPr>
                <w:rStyle w:val="Emphasis"/>
                <w:rFonts w:asciiTheme="minorHAnsi" w:hAnsiTheme="minorHAnsi" w:cstheme="minorHAnsi"/>
                <w:lang w:val="es-ES"/>
              </w:rPr>
              <w:t>Unorthodox</w:t>
            </w:r>
            <w:proofErr w:type="spellEnd"/>
            <w:r w:rsidRPr="000A1A1E">
              <w:rPr>
                <w:rFonts w:asciiTheme="minorHAnsi" w:hAnsiTheme="minorHAnsi" w:cstheme="minorHAnsi"/>
                <w:lang w:val="es-ES"/>
              </w:rPr>
              <w:t xml:space="preserve"> está cargada de realidad y de escenas potentes, aunque hay una que muchos celebran como la mejor: la conversación que mantiene </w:t>
            </w:r>
            <w:proofErr w:type="spellStart"/>
            <w:r w:rsidRPr="000A1A1E">
              <w:rPr>
                <w:rFonts w:asciiTheme="minorHAnsi" w:hAnsiTheme="minorHAnsi" w:cstheme="minorHAnsi"/>
                <w:lang w:val="es-ES"/>
              </w:rPr>
              <w:t>Esty</w:t>
            </w:r>
            <w:proofErr w:type="spellEnd"/>
            <w:r w:rsidRPr="000A1A1E">
              <w:rPr>
                <w:rFonts w:asciiTheme="minorHAnsi" w:hAnsiTheme="minorHAnsi" w:cstheme="minorHAnsi"/>
                <w:lang w:val="es-ES"/>
              </w:rPr>
              <w:t xml:space="preserve"> con </w:t>
            </w:r>
            <w:proofErr w:type="spellStart"/>
            <w:r w:rsidRPr="000A1A1E">
              <w:rPr>
                <w:rFonts w:asciiTheme="minorHAnsi" w:hAnsiTheme="minorHAnsi" w:cstheme="minorHAnsi"/>
                <w:lang w:val="es-ES"/>
              </w:rPr>
              <w:t>Yanky</w:t>
            </w:r>
            <w:proofErr w:type="spellEnd"/>
            <w:r w:rsidRPr="000A1A1E">
              <w:rPr>
                <w:rFonts w:asciiTheme="minorHAnsi" w:hAnsiTheme="minorHAnsi" w:cstheme="minorHAnsi"/>
                <w:lang w:val="es-ES"/>
              </w:rPr>
              <w:t xml:space="preserve"> en el salón de casa. Justo antes de dejarlo.</w:t>
            </w:r>
          </w:p>
          <w:p w14:paraId="38342590" w14:textId="77777777" w:rsidR="00605CBE" w:rsidRPr="000A1A1E" w:rsidRDefault="00605CBE" w:rsidP="00617CA7">
            <w:pPr>
              <w:pStyle w:val="NormalWeb"/>
              <w:spacing w:before="0" w:beforeAutospacing="0" w:after="0" w:afterAutospacing="0"/>
              <w:jc w:val="both"/>
              <w:rPr>
                <w:rFonts w:asciiTheme="minorHAnsi" w:hAnsiTheme="minorHAnsi" w:cstheme="minorHAnsi"/>
                <w:lang w:val="es-ES"/>
              </w:rPr>
            </w:pPr>
            <w:r w:rsidRPr="000A1A1E">
              <w:rPr>
                <w:rFonts w:asciiTheme="minorHAnsi" w:hAnsiTheme="minorHAnsi" w:cstheme="minorHAnsi"/>
                <w:lang w:val="es-ES"/>
              </w:rPr>
              <w:t>Nunca ocurrió, aunque a Feldman le hubiese gustado tener el mismo valor que la protagonista. “Dice todo lo que ha pasado por la cabeza. Se suelta, es como un volcán. Para mí, la serie culmina en este momento ”, aseguró en </w:t>
            </w:r>
            <w:hyperlink r:id="rId15" w:tgtFrame="_blank" w:history="1">
              <w:r w:rsidRPr="000A1A1E">
                <w:rPr>
                  <w:rStyle w:val="Hyperlink"/>
                  <w:rFonts w:asciiTheme="minorHAnsi" w:hAnsiTheme="minorHAnsi" w:cstheme="minorHAnsi"/>
                  <w:color w:val="auto"/>
                  <w:lang w:val="es-ES"/>
                </w:rPr>
                <w:t>una entrevista </w:t>
              </w:r>
            </w:hyperlink>
            <w:r w:rsidRPr="000A1A1E">
              <w:rPr>
                <w:rFonts w:asciiTheme="minorHAnsi" w:hAnsiTheme="minorHAnsi" w:cstheme="minorHAnsi"/>
                <w:lang w:val="es-ES"/>
              </w:rPr>
              <w:t>. “Sentí celos porque nunca viví una situación así. Tuve muchos pequeños momentos en los que traté de expresarme de hablar por mí misma, pero me encanta cómo deja salir todo”.</w:t>
            </w:r>
          </w:p>
          <w:p w14:paraId="4391D0EA" w14:textId="77777777" w:rsidR="00605CBE" w:rsidRPr="000A1A1E" w:rsidRDefault="00605CBE" w:rsidP="00617CA7">
            <w:pPr>
              <w:pStyle w:val="NormalWeb"/>
              <w:spacing w:before="0" w:beforeAutospacing="0" w:after="0" w:afterAutospacing="0"/>
              <w:jc w:val="both"/>
              <w:rPr>
                <w:rFonts w:asciiTheme="minorHAnsi" w:hAnsiTheme="minorHAnsi" w:cstheme="minorHAnsi"/>
                <w:lang w:val="es-ES"/>
              </w:rPr>
            </w:pPr>
            <w:r w:rsidRPr="000A1A1E">
              <w:rPr>
                <w:rFonts w:asciiTheme="minorHAnsi" w:hAnsiTheme="minorHAnsi" w:cstheme="minorHAnsi"/>
                <w:lang w:val="es-ES"/>
              </w:rPr>
              <w:t>Para Feldman es emocionante y podría ser útil: “Espero que otras personas vean esa escena y quieran ser como ella también ”.</w:t>
            </w:r>
          </w:p>
          <w:p w14:paraId="4C088569" w14:textId="77777777" w:rsidR="00605CBE" w:rsidRPr="000A1A1E" w:rsidRDefault="00605CBE" w:rsidP="00617CA7">
            <w:pPr>
              <w:bidi w:val="0"/>
              <w:jc w:val="both"/>
              <w:rPr>
                <w:rFonts w:cstheme="minorHAnsi"/>
                <w:sz w:val="24"/>
                <w:szCs w:val="24"/>
                <w:lang w:val="es-ES"/>
              </w:rPr>
            </w:pPr>
          </w:p>
        </w:tc>
      </w:tr>
      <w:tr w:rsidR="00605CBE" w:rsidRPr="000A1A1E" w14:paraId="7027753E" w14:textId="77777777" w:rsidTr="00605CBE">
        <w:tc>
          <w:tcPr>
            <w:tcW w:w="7655" w:type="dxa"/>
          </w:tcPr>
          <w:p w14:paraId="6CDE88D5" w14:textId="77777777" w:rsidR="00605CBE" w:rsidRDefault="00605CBE" w:rsidP="00617CA7">
            <w:pPr>
              <w:pStyle w:val="NormalWeb"/>
              <w:spacing w:before="0" w:beforeAutospacing="0" w:after="0" w:afterAutospacing="0"/>
              <w:jc w:val="both"/>
              <w:rPr>
                <w:rFonts w:asciiTheme="minorHAnsi" w:hAnsiTheme="minorHAnsi" w:cstheme="minorHAnsi"/>
                <w:lang w:val="es-ES"/>
              </w:rPr>
            </w:pPr>
          </w:p>
          <w:p w14:paraId="30345694" w14:textId="77777777" w:rsidR="00605CBE" w:rsidRDefault="00605CBE" w:rsidP="00617CA7">
            <w:pPr>
              <w:pStyle w:val="NormalWeb"/>
              <w:spacing w:before="0" w:beforeAutospacing="0" w:after="0" w:afterAutospacing="0"/>
              <w:jc w:val="both"/>
              <w:rPr>
                <w:rFonts w:asciiTheme="minorHAnsi" w:hAnsiTheme="minorHAnsi" w:cstheme="minorHAnsi"/>
                <w:lang w:val="es-ES"/>
              </w:rPr>
            </w:pPr>
          </w:p>
          <w:p w14:paraId="62EA47B3" w14:textId="77777777" w:rsidR="00605CBE" w:rsidRDefault="00605CBE" w:rsidP="00617CA7">
            <w:pPr>
              <w:pStyle w:val="NormalWeb"/>
              <w:spacing w:before="0" w:beforeAutospacing="0" w:after="0" w:afterAutospacing="0"/>
              <w:jc w:val="both"/>
              <w:rPr>
                <w:rFonts w:asciiTheme="minorHAnsi" w:hAnsiTheme="minorHAnsi" w:cstheme="minorHAnsi"/>
                <w:lang w:val="es-ES"/>
              </w:rPr>
            </w:pPr>
          </w:p>
          <w:p w14:paraId="2D268C10" w14:textId="77777777" w:rsidR="00605CBE" w:rsidRDefault="00605CBE" w:rsidP="00617CA7">
            <w:pPr>
              <w:pStyle w:val="NormalWeb"/>
              <w:spacing w:before="0" w:beforeAutospacing="0" w:after="0" w:afterAutospacing="0"/>
              <w:jc w:val="both"/>
              <w:rPr>
                <w:rFonts w:asciiTheme="minorHAnsi" w:hAnsiTheme="minorHAnsi" w:cstheme="minorHAnsi"/>
                <w:lang w:val="es-ES"/>
              </w:rPr>
            </w:pPr>
          </w:p>
          <w:p w14:paraId="510DC8B5" w14:textId="2EBD3EFF" w:rsidR="00605CBE" w:rsidRPr="000A1A1E" w:rsidRDefault="00605CBE" w:rsidP="00617CA7">
            <w:pPr>
              <w:pStyle w:val="NormalWeb"/>
              <w:spacing w:before="0" w:beforeAutospacing="0" w:after="0" w:afterAutospacing="0"/>
              <w:jc w:val="both"/>
              <w:rPr>
                <w:rFonts w:asciiTheme="minorHAnsi" w:hAnsiTheme="minorHAnsi" w:cstheme="minorHAnsi"/>
                <w:lang w:val="es-ES"/>
              </w:rPr>
            </w:pPr>
          </w:p>
        </w:tc>
        <w:tc>
          <w:tcPr>
            <w:tcW w:w="7938" w:type="dxa"/>
          </w:tcPr>
          <w:p w14:paraId="18D9A1F8" w14:textId="77777777" w:rsidR="00605CBE" w:rsidRPr="000A1A1E" w:rsidRDefault="00605CBE" w:rsidP="00617CA7">
            <w:pPr>
              <w:pStyle w:val="NormalWeb"/>
              <w:spacing w:before="0" w:beforeAutospacing="0" w:after="0" w:afterAutospacing="0"/>
              <w:jc w:val="both"/>
              <w:rPr>
                <w:rStyle w:val="Emphasis"/>
                <w:rFonts w:asciiTheme="minorHAnsi" w:hAnsiTheme="minorHAnsi" w:cstheme="minorHAnsi"/>
                <w:lang w:val="es-ES"/>
              </w:rPr>
            </w:pPr>
          </w:p>
        </w:tc>
      </w:tr>
    </w:tbl>
    <w:p w14:paraId="2D2B9D13" w14:textId="77777777" w:rsidR="00605CBE" w:rsidRDefault="00605CBE">
      <w:pPr>
        <w:bidi w:val="0"/>
      </w:pPr>
    </w:p>
    <w:p w14:paraId="35CE4B4B" w14:textId="77777777" w:rsidR="0084459F" w:rsidRPr="000A1A1E" w:rsidRDefault="0084459F" w:rsidP="000A1A1E">
      <w:pPr>
        <w:bidi w:val="0"/>
        <w:jc w:val="both"/>
        <w:rPr>
          <w:rFonts w:cstheme="minorHAnsi"/>
          <w:sz w:val="24"/>
          <w:szCs w:val="24"/>
          <w:lang w:val="es-ES"/>
        </w:rPr>
      </w:pPr>
    </w:p>
    <w:sectPr w:rsidR="0084459F" w:rsidRPr="000A1A1E" w:rsidSect="000A1A1E">
      <w:pgSz w:w="16838" w:h="11906" w:orient="landscape"/>
      <w:pgMar w:top="993"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_slab_regular">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9F"/>
    <w:rsid w:val="000A1A1E"/>
    <w:rsid w:val="00605CBE"/>
    <w:rsid w:val="0084459F"/>
    <w:rsid w:val="008B352D"/>
    <w:rsid w:val="00F560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B85"/>
  <w15:chartTrackingRefBased/>
  <w15:docId w15:val="{26011946-BBFE-4721-8A3F-928BF8A2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459F"/>
    <w:rPr>
      <w:i/>
      <w:iCs/>
    </w:rPr>
  </w:style>
  <w:style w:type="paragraph" w:styleId="NormalWeb">
    <w:name w:val="Normal (Web)"/>
    <w:basedOn w:val="Normal"/>
    <w:uiPriority w:val="99"/>
    <w:unhideWhenUsed/>
    <w:rsid w:val="0084459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ullquotequote">
    <w:name w:val="cli-pullquote__quote"/>
    <w:basedOn w:val="Normal"/>
    <w:rsid w:val="008445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459F"/>
    <w:rPr>
      <w:color w:val="0000FF"/>
      <w:u w:val="single"/>
    </w:rPr>
  </w:style>
  <w:style w:type="character" w:customStyle="1" w:styleId="plainlinks">
    <w:name w:val="plainlinks"/>
    <w:basedOn w:val="DefaultParagraphFont"/>
    <w:rsid w:val="0084459F"/>
  </w:style>
  <w:style w:type="character" w:styleId="UnresolvedMention">
    <w:name w:val="Unresolved Mention"/>
    <w:basedOn w:val="DefaultParagraphFont"/>
    <w:uiPriority w:val="99"/>
    <w:semiHidden/>
    <w:unhideWhenUsed/>
    <w:rsid w:val="00605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83622">
      <w:bodyDiv w:val="1"/>
      <w:marLeft w:val="0"/>
      <w:marRight w:val="0"/>
      <w:marTop w:val="0"/>
      <w:marBottom w:val="0"/>
      <w:divBdr>
        <w:top w:val="none" w:sz="0" w:space="0" w:color="auto"/>
        <w:left w:val="none" w:sz="0" w:space="0" w:color="auto"/>
        <w:bottom w:val="none" w:sz="0" w:space="0" w:color="auto"/>
        <w:right w:val="none" w:sz="0" w:space="0" w:color="auto"/>
      </w:divBdr>
      <w:divsChild>
        <w:div w:id="122844495">
          <w:marLeft w:val="0"/>
          <w:marRight w:val="0"/>
          <w:marTop w:val="450"/>
          <w:marBottom w:val="450"/>
          <w:divBdr>
            <w:top w:val="none" w:sz="0" w:space="0" w:color="auto"/>
            <w:left w:val="none" w:sz="0" w:space="0" w:color="auto"/>
            <w:bottom w:val="none" w:sz="0" w:space="0" w:color="auto"/>
            <w:right w:val="none" w:sz="0" w:space="0" w:color="auto"/>
          </w:divBdr>
        </w:div>
        <w:div w:id="300623963">
          <w:marLeft w:val="0"/>
          <w:marRight w:val="0"/>
          <w:marTop w:val="450"/>
          <w:marBottom w:val="450"/>
          <w:divBdr>
            <w:top w:val="none" w:sz="0" w:space="0" w:color="auto"/>
            <w:left w:val="none" w:sz="0" w:space="0" w:color="auto"/>
            <w:bottom w:val="none" w:sz="0" w:space="0" w:color="auto"/>
            <w:right w:val="none" w:sz="0" w:space="0" w:color="auto"/>
          </w:divBdr>
        </w:div>
        <w:div w:id="1130901331">
          <w:marLeft w:val="0"/>
          <w:marRight w:val="0"/>
          <w:marTop w:val="450"/>
          <w:marBottom w:val="450"/>
          <w:divBdr>
            <w:top w:val="none" w:sz="0" w:space="0" w:color="auto"/>
            <w:left w:val="none" w:sz="0" w:space="0" w:color="auto"/>
            <w:bottom w:val="none" w:sz="0" w:space="0" w:color="auto"/>
            <w:right w:val="none" w:sz="0" w:space="0" w:color="auto"/>
          </w:divBdr>
        </w:div>
      </w:divsChild>
    </w:div>
    <w:div w:id="1720126468">
      <w:bodyDiv w:val="1"/>
      <w:marLeft w:val="0"/>
      <w:marRight w:val="0"/>
      <w:marTop w:val="0"/>
      <w:marBottom w:val="0"/>
      <w:divBdr>
        <w:top w:val="none" w:sz="0" w:space="0" w:color="auto"/>
        <w:left w:val="none" w:sz="0" w:space="0" w:color="auto"/>
        <w:bottom w:val="none" w:sz="0" w:space="0" w:color="auto"/>
        <w:right w:val="none" w:sz="0" w:space="0" w:color="auto"/>
      </w:divBdr>
      <w:divsChild>
        <w:div w:id="660668576">
          <w:marLeft w:val="0"/>
          <w:marRight w:val="0"/>
          <w:marTop w:val="450"/>
          <w:marBottom w:val="450"/>
          <w:divBdr>
            <w:top w:val="none" w:sz="0" w:space="0" w:color="auto"/>
            <w:left w:val="none" w:sz="0" w:space="0" w:color="auto"/>
            <w:bottom w:val="none" w:sz="0" w:space="0" w:color="auto"/>
            <w:right w:val="none" w:sz="0" w:space="0" w:color="auto"/>
          </w:divBdr>
        </w:div>
        <w:div w:id="309872766">
          <w:marLeft w:val="0"/>
          <w:marRight w:val="0"/>
          <w:marTop w:val="450"/>
          <w:marBottom w:val="450"/>
          <w:divBdr>
            <w:top w:val="none" w:sz="0" w:space="0" w:color="auto"/>
            <w:left w:val="none" w:sz="0" w:space="0" w:color="auto"/>
            <w:bottom w:val="none" w:sz="0" w:space="0" w:color="auto"/>
            <w:right w:val="none" w:sz="0" w:space="0" w:color="auto"/>
          </w:divBdr>
        </w:div>
        <w:div w:id="2027707932">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4980644">
              <w:marLeft w:val="0"/>
              <w:marRight w:val="0"/>
              <w:marTop w:val="0"/>
              <w:marBottom w:val="0"/>
              <w:divBdr>
                <w:top w:val="none" w:sz="0" w:space="0" w:color="auto"/>
                <w:left w:val="none" w:sz="0" w:space="0" w:color="auto"/>
                <w:bottom w:val="none" w:sz="0" w:space="0" w:color="auto"/>
                <w:right w:val="none" w:sz="0" w:space="0" w:color="auto"/>
              </w:divBdr>
            </w:div>
          </w:divsChild>
        </w:div>
        <w:div w:id="2043899745">
          <w:marLeft w:val="0"/>
          <w:marRight w:val="0"/>
          <w:marTop w:val="450"/>
          <w:marBottom w:val="450"/>
          <w:divBdr>
            <w:top w:val="none" w:sz="0" w:space="0" w:color="auto"/>
            <w:left w:val="none" w:sz="0" w:space="0" w:color="auto"/>
            <w:bottom w:val="none" w:sz="0" w:space="0" w:color="auto"/>
            <w:right w:val="none" w:sz="0" w:space="0" w:color="auto"/>
          </w:divBdr>
        </w:div>
        <w:div w:id="28192854">
          <w:marLeft w:val="0"/>
          <w:marRight w:val="0"/>
          <w:marTop w:val="450"/>
          <w:marBottom w:val="450"/>
          <w:divBdr>
            <w:top w:val="none" w:sz="0" w:space="0" w:color="auto"/>
            <w:left w:val="none" w:sz="0" w:space="0" w:color="auto"/>
            <w:bottom w:val="none" w:sz="0" w:space="0" w:color="auto"/>
            <w:right w:val="none" w:sz="0" w:space="0" w:color="auto"/>
          </w:divBdr>
        </w:div>
      </w:divsChild>
    </w:div>
    <w:div w:id="17638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Y%C3%ADdish" TargetMode="External"/><Relationship Id="rId13" Type="http://schemas.openxmlformats.org/officeDocument/2006/relationships/hyperlink" Target="https://es.wikipedia.org/wiki/Tanaj" TargetMode="External"/><Relationship Id="rId3" Type="http://schemas.openxmlformats.org/officeDocument/2006/relationships/settings" Target="settings.xml"/><Relationship Id="rId7" Type="http://schemas.openxmlformats.org/officeDocument/2006/relationships/hyperlink" Target="https://es.wikipedia.org/wiki/Idioma_hebreo" TargetMode="External"/><Relationship Id="rId12" Type="http://schemas.openxmlformats.org/officeDocument/2006/relationships/hyperlink" Target="https://es.wikipedia.org/wiki/Antiguo_Testamen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s.wikipedia.org/wiki/Satmar_(dinast%C3%ADa_jas%C3%ADdica)" TargetMode="External"/><Relationship Id="rId11" Type="http://schemas.openxmlformats.org/officeDocument/2006/relationships/hyperlink" Target="https://es.wikipedia.org/wiki/Lev%C3%ADtico" TargetMode="External"/><Relationship Id="rId5" Type="http://schemas.openxmlformats.org/officeDocument/2006/relationships/hyperlink" Target="https://www.huffingtonpost.es/entry/creia-que-iba-a-morir-el-duro-relato-de-la-novelista-que-inspira-la-serie-de-netflix-unorthodox_es_5e930cb2c5b62a1ccc6bcaa8" TargetMode="External"/><Relationship Id="rId15" Type="http://schemas.openxmlformats.org/officeDocument/2006/relationships/hyperlink" Target="https://metro.co.uk/2020/04/07/unorthodox-author-reveals-jealousy-seeing-estys-explosion-netflix-drama-12523013/" TargetMode="External"/><Relationship Id="rId10" Type="http://schemas.openxmlformats.org/officeDocument/2006/relationships/hyperlink" Target="https://es.wikipedia.org/wiki/Biblia" TargetMode="External"/><Relationship Id="rId4" Type="http://schemas.openxmlformats.org/officeDocument/2006/relationships/webSettings" Target="webSettings.xml"/><Relationship Id="rId9" Type="http://schemas.openxmlformats.org/officeDocument/2006/relationships/hyperlink" Target="https://es.wikipedia.org/wiki/Juda%C3%ADsmo" TargetMode="External"/><Relationship Id="rId14" Type="http://schemas.openxmlformats.org/officeDocument/2006/relationships/hyperlink" Target="https://beta.biblegateway.com/passage/?search=Levitico+11%3A4%2C7&amp;version=DHH;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FE08-14E2-4B77-87C2-8C930BA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1245</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Fritzler</dc:creator>
  <cp:keywords/>
  <dc:description/>
  <cp:lastModifiedBy>Marcela Fritzler</cp:lastModifiedBy>
  <cp:revision>2</cp:revision>
  <dcterms:created xsi:type="dcterms:W3CDTF">2020-04-21T13:56:00Z</dcterms:created>
  <dcterms:modified xsi:type="dcterms:W3CDTF">2020-04-21T14:22:00Z</dcterms:modified>
</cp:coreProperties>
</file>